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ANEXO B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PROPUESTA ECONÓMICA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INVITACIÓN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u w:val="single"/>
          <w:rtl w:val="0"/>
        </w:rPr>
        <w:t xml:space="preserve">PÚBLICA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No.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u w:val="single"/>
          <w:rtl w:val="0"/>
        </w:rPr>
        <w:t xml:space="preserve">VRI-004 DEL 04 DE MAYO DE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1440"/>
        <w:jc w:val="both"/>
        <w:rPr>
          <w:rFonts w:ascii="Arial" w:cs="Arial" w:eastAsia="Arial" w:hAnsi="Arial"/>
          <w:b w:val="0"/>
          <w:b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OBJETO: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rtl w:val="0"/>
        </w:rPr>
        <w:t xml:space="preserve">Prestar servicios profesionales como joven investigador para apoyar el proyecto, “fortalecimiento de las capacidades de CTeI en una comunidad del Norte del Cauca: exploración de extractos de cannabis medicinal y su actividad inmunomoduladora, correlacionados con abordajes in silico e in vitro para valorar su potencial terapéutico”-ID 6718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799"/>
        <w:gridCol w:w="1272"/>
        <w:gridCol w:w="1324"/>
        <w:tblGridChange w:id="0">
          <w:tblGrid>
            <w:gridCol w:w="6799"/>
            <w:gridCol w:w="1272"/>
            <w:gridCol w:w="1324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Actividades por realizar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Valor total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Plazo de ejecución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numPr>
                <w:ilvl w:val="0"/>
                <w:numId w:val="1"/>
              </w:numPr>
              <w:ind w:left="720" w:hanging="36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Apoyar técnicamente la recopilación y análisis de información etnobotánica, bajo la orientación de la investigadora principal.</w:t>
            </w:r>
          </w:p>
          <w:p w:rsidR="00000000" w:rsidDel="00000000" w:rsidP="00000000" w:rsidRDefault="00000000" w:rsidRPr="00000000" w14:paraId="0000000C">
            <w:pPr>
              <w:numPr>
                <w:ilvl w:val="0"/>
                <w:numId w:val="1"/>
              </w:numPr>
              <w:ind w:left="720" w:hanging="36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Contribuir a la implementación de la estrategia de integración entre conocimiento ancestral y científico.</w:t>
            </w:r>
          </w:p>
          <w:p w:rsidR="00000000" w:rsidDel="00000000" w:rsidP="00000000" w:rsidRDefault="00000000" w:rsidRPr="00000000" w14:paraId="0000000D">
            <w:pPr>
              <w:numPr>
                <w:ilvl w:val="0"/>
                <w:numId w:val="1"/>
              </w:numPr>
              <w:ind w:left="720" w:hanging="36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Apoyar el desarrollo de procesos de socialización participativa de información y experiencias con la comunidad.</w:t>
            </w:r>
          </w:p>
          <w:p w:rsidR="00000000" w:rsidDel="00000000" w:rsidP="00000000" w:rsidRDefault="00000000" w:rsidRPr="00000000" w14:paraId="0000000E">
            <w:pPr>
              <w:numPr>
                <w:ilvl w:val="0"/>
                <w:numId w:val="1"/>
              </w:numPr>
              <w:ind w:left="720" w:hanging="36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Apoyar la recolección del material vegetal de cannabis conforme a los protocolos establecidos.</w:t>
            </w:r>
          </w:p>
          <w:p w:rsidR="00000000" w:rsidDel="00000000" w:rsidP="00000000" w:rsidRDefault="00000000" w:rsidRPr="00000000" w14:paraId="0000000F">
            <w:pPr>
              <w:numPr>
                <w:ilvl w:val="0"/>
                <w:numId w:val="1"/>
              </w:numPr>
              <w:ind w:left="720" w:hanging="36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Asistir en la obtención de extractos y en la comparación de métodos de extracción.</w:t>
            </w:r>
          </w:p>
          <w:p w:rsidR="00000000" w:rsidDel="00000000" w:rsidP="00000000" w:rsidRDefault="00000000" w:rsidRPr="00000000" w14:paraId="00000010">
            <w:pPr>
              <w:numPr>
                <w:ilvl w:val="0"/>
                <w:numId w:val="1"/>
              </w:numPr>
              <w:ind w:left="720" w:hanging="36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Apoyar la caracterización fitoquímica del material vegetal y de los extractos obtenidos.</w:t>
            </w:r>
          </w:p>
          <w:p w:rsidR="00000000" w:rsidDel="00000000" w:rsidP="00000000" w:rsidRDefault="00000000" w:rsidRPr="00000000" w14:paraId="00000011">
            <w:pPr>
              <w:numPr>
                <w:ilvl w:val="0"/>
                <w:numId w:val="1"/>
              </w:numPr>
              <w:ind w:left="720" w:hanging="36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Apoyar la evaluación de parámetros de viabilidad terapéutica de los compuestos estudiados.</w:t>
            </w:r>
          </w:p>
          <w:p w:rsidR="00000000" w:rsidDel="00000000" w:rsidP="00000000" w:rsidRDefault="00000000" w:rsidRPr="00000000" w14:paraId="00000012">
            <w:pPr>
              <w:numPr>
                <w:ilvl w:val="0"/>
                <w:numId w:val="1"/>
              </w:numPr>
              <w:ind w:left="720" w:hanging="36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Asistir en la preparación de proteínas y ligandos para análisis computacional.</w:t>
            </w:r>
          </w:p>
          <w:p w:rsidR="00000000" w:rsidDel="00000000" w:rsidP="00000000" w:rsidRDefault="00000000" w:rsidRPr="00000000" w14:paraId="00000013">
            <w:pPr>
              <w:numPr>
                <w:ilvl w:val="0"/>
                <w:numId w:val="1"/>
              </w:numPr>
              <w:ind w:left="720" w:hanging="36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Apoyar la ejecución de análisis de acoplamiento molecular (docking) y cribado virtual basado en estructura (SBVS).</w:t>
            </w:r>
          </w:p>
          <w:p w:rsidR="00000000" w:rsidDel="00000000" w:rsidP="00000000" w:rsidRDefault="00000000" w:rsidRPr="00000000" w14:paraId="00000014">
            <w:pPr>
              <w:numPr>
                <w:ilvl w:val="0"/>
                <w:numId w:val="1"/>
              </w:numPr>
              <w:ind w:left="720" w:hanging="36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Contribuir al desarrollo de estudios de interacciones intermoleculares mediante simulaciones de dinámica molecular.</w:t>
            </w:r>
          </w:p>
          <w:p w:rsidR="00000000" w:rsidDel="00000000" w:rsidP="00000000" w:rsidRDefault="00000000" w:rsidRPr="00000000" w14:paraId="00000015">
            <w:pPr>
              <w:numPr>
                <w:ilvl w:val="0"/>
                <w:numId w:val="1"/>
              </w:numPr>
              <w:ind w:left="720" w:hanging="36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Apoyar la integración y análisis de resultados computacionales.</w:t>
            </w:r>
          </w:p>
          <w:p w:rsidR="00000000" w:rsidDel="00000000" w:rsidP="00000000" w:rsidRDefault="00000000" w:rsidRPr="00000000" w14:paraId="00000016">
            <w:pPr>
              <w:numPr>
                <w:ilvl w:val="0"/>
                <w:numId w:val="1"/>
              </w:numPr>
              <w:ind w:left="720" w:hanging="36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Apoyar la evaluación de la actividad inmunomoduladora de los extractos en linfocitos de sangre periférica humana.</w:t>
            </w:r>
          </w:p>
          <w:p w:rsidR="00000000" w:rsidDel="00000000" w:rsidP="00000000" w:rsidRDefault="00000000" w:rsidRPr="00000000" w14:paraId="00000017">
            <w:pPr>
              <w:numPr>
                <w:ilvl w:val="0"/>
                <w:numId w:val="1"/>
              </w:numPr>
              <w:ind w:left="720" w:hanging="36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Asistir en el análisis de proliferación celular, apoptosis y producción de citocinas.</w:t>
            </w:r>
          </w:p>
          <w:p w:rsidR="00000000" w:rsidDel="00000000" w:rsidP="00000000" w:rsidRDefault="00000000" w:rsidRPr="00000000" w14:paraId="00000018">
            <w:pPr>
              <w:numPr>
                <w:ilvl w:val="0"/>
                <w:numId w:val="1"/>
              </w:numPr>
              <w:ind w:left="720" w:hanging="36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Apoyar el procesamiento, análisis e interpretación de los datos obtenidos en las fases experimental y computacional del proyecto.</w:t>
            </w:r>
          </w:p>
          <w:p w:rsidR="00000000" w:rsidDel="00000000" w:rsidP="00000000" w:rsidRDefault="00000000" w:rsidRPr="00000000" w14:paraId="00000019">
            <w:pPr>
              <w:numPr>
                <w:ilvl w:val="0"/>
                <w:numId w:val="1"/>
              </w:numPr>
              <w:ind w:left="720" w:hanging="36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Apoyar la elaboración de informes técnicos de avance y final.</w:t>
            </w:r>
          </w:p>
          <w:p w:rsidR="00000000" w:rsidDel="00000000" w:rsidP="00000000" w:rsidRDefault="00000000" w:rsidRPr="00000000" w14:paraId="0000001A">
            <w:pPr>
              <w:numPr>
                <w:ilvl w:val="0"/>
                <w:numId w:val="1"/>
              </w:numPr>
              <w:ind w:left="720" w:hanging="36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Contribuir en la redacción de artículos científicos derivados de la investigación.</w:t>
            </w:r>
          </w:p>
          <w:p w:rsidR="00000000" w:rsidDel="00000000" w:rsidP="00000000" w:rsidRDefault="00000000" w:rsidRPr="00000000" w14:paraId="0000001B">
            <w:pPr>
              <w:numPr>
                <w:ilvl w:val="0"/>
                <w:numId w:val="1"/>
              </w:numPr>
              <w:ind w:left="720" w:hanging="36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Apoyar la preparación y presentación de resultados de investigación en eventos académicos, científicos o de apropiación social del conocimiento.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$22.728.000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Hasta OCHO (08) MESES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Universitariamente,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(Firma del oferente)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Nombre del oferente: _____________________________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C. C. No.: _____________________ de ______________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Dirección de correo: ______________________________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Correo electrónico: _______________________________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Teléfono: _______________________________________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Ciudad: ________________________________________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footerReference r:id="rId9" w:type="even"/>
      <w:pgSz w:h="15840" w:w="12240" w:orient="portrait"/>
      <w:pgMar w:bottom="1134" w:top="1701" w:left="1701" w:right="1134" w:header="0" w:footer="30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Georgia"/>
  <w:font w:name="Arial"/>
  <w:font w:name="Open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76" w:lineRule="auto"/>
      <w:rPr>
        <w:color w:val="000000"/>
      </w:rPr>
    </w:pPr>
    <w:r w:rsidDel="00000000" w:rsidR="00000000" w:rsidRPr="00000000">
      <w:rPr>
        <w:rtl w:val="0"/>
      </w:rPr>
    </w:r>
  </w:p>
  <w:tbl>
    <w:tblPr>
      <w:tblStyle w:val="Table2"/>
      <w:tblW w:w="10459.0" w:type="dxa"/>
      <w:jc w:val="left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2689"/>
      <w:gridCol w:w="4961"/>
      <w:gridCol w:w="2809"/>
      <w:tblGridChange w:id="0">
        <w:tblGrid>
          <w:gridCol w:w="2689"/>
          <w:gridCol w:w="4961"/>
          <w:gridCol w:w="2809"/>
        </w:tblGrid>
      </w:tblGridChange>
    </w:tblGrid>
    <w:tr>
      <w:trPr>
        <w:cantSplit w:val="0"/>
        <w:trHeight w:val="1399" w:hRule="atLeast"/>
        <w:tblHeader w:val="0"/>
      </w:trPr>
      <w:tc>
        <w:tcPr/>
        <w:p w:rsidR="00000000" w:rsidDel="00000000" w:rsidP="00000000" w:rsidRDefault="00000000" w:rsidRPr="00000000" w14:paraId="00000030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252"/>
              <w:tab w:val="right" w:leader="none" w:pos="8504"/>
            </w:tabs>
            <w:jc w:val="center"/>
            <w:rPr>
              <w:rFonts w:ascii="Arial" w:cs="Arial" w:eastAsia="Arial" w:hAnsi="Arial"/>
              <w:color w:val="000000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35598</wp:posOffset>
                </wp:positionH>
                <wp:positionV relativeFrom="paragraph">
                  <wp:posOffset>175895</wp:posOffset>
                </wp:positionV>
                <wp:extent cx="1577514" cy="504000"/>
                <wp:effectExtent b="0" l="0" r="0" t="0"/>
                <wp:wrapSquare wrapText="bothSides" distB="0" distT="0" distL="114300" distR="114300"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"/>
                        <a:srcRect b="31084" l="0" r="0" t="2757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7514" cy="5040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  <w:p w:rsidR="00000000" w:rsidDel="00000000" w:rsidP="00000000" w:rsidRDefault="00000000" w:rsidRPr="00000000" w14:paraId="00000031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252"/>
              <w:tab w:val="right" w:leader="none" w:pos="8504"/>
            </w:tabs>
            <w:ind w:left="-1257" w:firstLine="0"/>
            <w:jc w:val="center"/>
            <w:rPr>
              <w:rFonts w:ascii="Arial" w:cs="Arial" w:eastAsia="Arial" w:hAnsi="Arial"/>
              <w:color w:val="000000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32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252"/>
              <w:tab w:val="right" w:leader="none" w:pos="8504"/>
            </w:tabs>
            <w:jc w:val="center"/>
            <w:rPr>
              <w:rFonts w:ascii="Open Sans" w:cs="Open Sans" w:eastAsia="Open Sans" w:hAnsi="Open Sans"/>
              <w:color w:val="1f497d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3">
          <w:pPr>
            <w:jc w:val="center"/>
            <w:rPr>
              <w:rFonts w:ascii="Open Sans" w:cs="Open Sans" w:eastAsia="Open Sans" w:hAnsi="Open Sans"/>
              <w:color w:val="17365d"/>
              <w:sz w:val="16"/>
              <w:szCs w:val="16"/>
              <w:highlight w:val="white"/>
            </w:rPr>
          </w:pPr>
          <w:r w:rsidDel="00000000" w:rsidR="00000000" w:rsidRPr="00000000">
            <w:rPr>
              <w:rFonts w:ascii="Open Sans" w:cs="Open Sans" w:eastAsia="Open Sans" w:hAnsi="Open Sans"/>
              <w:color w:val="17365d"/>
              <w:sz w:val="16"/>
              <w:szCs w:val="16"/>
              <w:highlight w:val="white"/>
              <w:rtl w:val="0"/>
            </w:rPr>
            <w:t xml:space="preserve">Calle 2a. No. 1A-25 </w:t>
          </w:r>
        </w:p>
        <w:p w:rsidR="00000000" w:rsidDel="00000000" w:rsidP="00000000" w:rsidRDefault="00000000" w:rsidRPr="00000000" w14:paraId="00000034">
          <w:pPr>
            <w:jc w:val="center"/>
            <w:rPr>
              <w:rFonts w:ascii="Open Sans" w:cs="Open Sans" w:eastAsia="Open Sans" w:hAnsi="Open Sans"/>
              <w:color w:val="17365d"/>
              <w:sz w:val="16"/>
              <w:szCs w:val="16"/>
              <w:highlight w:val="white"/>
            </w:rPr>
          </w:pPr>
          <w:r w:rsidDel="00000000" w:rsidR="00000000" w:rsidRPr="00000000">
            <w:rPr>
              <w:rFonts w:ascii="Open Sans" w:cs="Open Sans" w:eastAsia="Open Sans" w:hAnsi="Open Sans"/>
              <w:color w:val="17365d"/>
              <w:sz w:val="16"/>
              <w:szCs w:val="16"/>
              <w:highlight w:val="white"/>
              <w:rtl w:val="0"/>
            </w:rPr>
            <w:t xml:space="preserve">Museo de Historia Natural - 2° piso, Urbanización Caldas</w:t>
          </w:r>
        </w:p>
        <w:p w:rsidR="00000000" w:rsidDel="00000000" w:rsidP="00000000" w:rsidRDefault="00000000" w:rsidRPr="00000000" w14:paraId="00000035">
          <w:pPr>
            <w:keepLines w:val="1"/>
            <w:jc w:val="center"/>
            <w:rPr>
              <w:rFonts w:ascii="Open Sans" w:cs="Open Sans" w:eastAsia="Open Sans" w:hAnsi="Open Sans"/>
              <w:color w:val="17365d"/>
              <w:sz w:val="16"/>
              <w:szCs w:val="16"/>
              <w:highlight w:val="white"/>
            </w:rPr>
          </w:pPr>
          <w:r w:rsidDel="00000000" w:rsidR="00000000" w:rsidRPr="00000000">
            <w:rPr>
              <w:rFonts w:ascii="Open Sans" w:cs="Open Sans" w:eastAsia="Open Sans" w:hAnsi="Open Sans"/>
              <w:color w:val="17365d"/>
              <w:sz w:val="16"/>
              <w:szCs w:val="16"/>
              <w:highlight w:val="white"/>
              <w:rtl w:val="0"/>
            </w:rPr>
            <w:t xml:space="preserve">Popayán-Cauca-Colombia</w:t>
          </w:r>
        </w:p>
        <w:p w:rsidR="00000000" w:rsidDel="00000000" w:rsidP="00000000" w:rsidRDefault="00000000" w:rsidRPr="00000000" w14:paraId="00000036">
          <w:pPr>
            <w:jc w:val="center"/>
            <w:rPr>
              <w:rFonts w:ascii="Open Sans" w:cs="Open Sans" w:eastAsia="Open Sans" w:hAnsi="Open Sans"/>
              <w:color w:val="1f497d"/>
              <w:sz w:val="16"/>
              <w:szCs w:val="16"/>
            </w:rPr>
          </w:pPr>
          <w:r w:rsidDel="00000000" w:rsidR="00000000" w:rsidRPr="00000000">
            <w:rPr>
              <w:rFonts w:ascii="Open Sans" w:cs="Open Sans" w:eastAsia="Open Sans" w:hAnsi="Open Sans"/>
              <w:color w:val="17365d"/>
              <w:sz w:val="16"/>
              <w:szCs w:val="16"/>
              <w:highlight w:val="white"/>
              <w:rtl w:val="0"/>
            </w:rPr>
            <w:t xml:space="preserve">Teléfono: (+57 2) 8209800 ext. 2673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7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252"/>
              <w:tab w:val="right" w:leader="none" w:pos="8504"/>
            </w:tabs>
            <w:jc w:val="center"/>
            <w:rPr>
              <w:rFonts w:ascii="Open Sans" w:cs="Open Sans" w:eastAsia="Open Sans" w:hAnsi="Open Sans"/>
              <w:color w:val="1f497d"/>
              <w:sz w:val="16"/>
              <w:szCs w:val="16"/>
            </w:rPr>
          </w:pPr>
          <w:r w:rsidDel="00000000" w:rsidR="00000000" w:rsidRPr="00000000">
            <w:rPr>
              <w:rFonts w:ascii="Open Sans" w:cs="Open Sans" w:eastAsia="Open Sans" w:hAnsi="Open Sans"/>
              <w:color w:val="1f497d"/>
              <w:sz w:val="16"/>
              <w:szCs w:val="16"/>
              <w:rtl w:val="0"/>
            </w:rPr>
            <w:t xml:space="preserve">vri</w:t>
          </w:r>
          <w:hyperlink r:id="rId2">
            <w:r w:rsidDel="00000000" w:rsidR="00000000" w:rsidRPr="00000000">
              <w:rPr>
                <w:rFonts w:ascii="Open Sans" w:cs="Open Sans" w:eastAsia="Open Sans" w:hAnsi="Open Sans"/>
                <w:color w:val="17365d"/>
                <w:sz w:val="16"/>
                <w:szCs w:val="16"/>
                <w:rtl w:val="0"/>
              </w:rPr>
              <w:t xml:space="preserve">@unicauca.edu.co</w:t>
            </w:r>
          </w:hyperlink>
          <w:r w:rsidDel="00000000" w:rsidR="00000000" w:rsidRPr="00000000">
            <w:rPr>
              <w:rFonts w:ascii="Open Sans" w:cs="Open Sans" w:eastAsia="Open Sans" w:hAnsi="Open Sans"/>
              <w:color w:val="1f497d"/>
              <w:sz w:val="16"/>
              <w:szCs w:val="16"/>
              <w:rtl w:val="0"/>
            </w:rPr>
            <w:t xml:space="preserve">   |   </w:t>
          </w:r>
          <w:r w:rsidDel="00000000" w:rsidR="00000000" w:rsidRPr="00000000">
            <w:rPr>
              <w:rFonts w:ascii="Open Sans" w:cs="Open Sans" w:eastAsia="Open Sans" w:hAnsi="Open Sans"/>
              <w:b w:val="1"/>
              <w:bCs w:val="1"/>
              <w:color w:val="1f497d"/>
              <w:sz w:val="16"/>
              <w:szCs w:val="16"/>
              <w:rtl w:val="0"/>
            </w:rPr>
            <w:t xml:space="preserve">www.unicauca.edu.co</w:t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38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252"/>
              <w:tab w:val="right" w:leader="none" w:pos="8504"/>
            </w:tabs>
            <w:rPr>
              <w:rFonts w:ascii="Open Sans" w:cs="Open Sans" w:eastAsia="Open Sans" w:hAnsi="Open Sans"/>
              <w:color w:val="1f497d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365660</wp:posOffset>
                </wp:positionH>
                <wp:positionV relativeFrom="paragraph">
                  <wp:posOffset>104245</wp:posOffset>
                </wp:positionV>
                <wp:extent cx="882145" cy="576580"/>
                <wp:effectExtent b="0" l="0" r="0" t="0"/>
                <wp:wrapSquare wrapText="bothSides" distB="0" distT="0" distL="114300" distR="11430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2145" cy="5765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  <w:p w:rsidR="00000000" w:rsidDel="00000000" w:rsidP="00000000" w:rsidRDefault="00000000" w:rsidRPr="00000000" w14:paraId="00000039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252"/>
              <w:tab w:val="right" w:leader="none" w:pos="8504"/>
            </w:tabs>
            <w:jc w:val="right"/>
            <w:rPr>
              <w:rFonts w:ascii="Open Sans" w:cs="Open Sans" w:eastAsia="Open Sans" w:hAnsi="Open Sans"/>
              <w:b w:val="1"/>
              <w:bCs w:val="1"/>
              <w:i w:val="1"/>
              <w:iCs w:val="1"/>
              <w:color w:val="1f497d"/>
              <w:sz w:val="22"/>
              <w:szCs w:val="22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3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rFonts w:ascii="Arial" w:cs="Arial" w:eastAsia="Arial" w:hAnsi="Arial"/>
        <w:color w:val="000000"/>
        <w:sz w:val="16"/>
        <w:szCs w:val="16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B">
    <w:pPr>
      <w:pBdr>
        <w:top w:space="0" w:sz="0" w:val="nil"/>
        <w:left w:space="0" w:sz="0" w:val="nil"/>
        <w:bottom w:space="0" w:sz="0" w:val="nil"/>
        <w:right w:space="0" w:sz="0" w:val="nil"/>
        <w:between w:color="4f81bd" w:space="1" w:sz="4" w:val="single"/>
      </w:pBdr>
      <w:tabs>
        <w:tab w:val="center" w:leader="none" w:pos="4252"/>
        <w:tab w:val="right" w:leader="none" w:pos="8504"/>
      </w:tabs>
      <w:spacing w:line="276" w:lineRule="auto"/>
      <w:jc w:val="center"/>
      <w:rPr>
        <w:color w:val="000000"/>
      </w:rPr>
    </w:pPr>
    <w:r w:rsidDel="00000000" w:rsidR="00000000" w:rsidRPr="00000000">
      <w:rPr>
        <w:color w:val="000000"/>
        <w:rtl w:val="0"/>
      </w:rPr>
      <w:t xml:space="preserve">membrete Universidad del Cauca</w:t>
    </w:r>
  </w:p>
  <w:p w:rsidR="00000000" w:rsidDel="00000000" w:rsidP="00000000" w:rsidRDefault="00000000" w:rsidRPr="00000000" w14:paraId="0000003C">
    <w:pPr>
      <w:pBdr>
        <w:top w:space="0" w:sz="0" w:val="nil"/>
        <w:left w:space="0" w:sz="0" w:val="nil"/>
        <w:bottom w:space="0" w:sz="0" w:val="nil"/>
        <w:right w:space="0" w:sz="0" w:val="nil"/>
        <w:between w:color="4f81bd" w:space="1" w:sz="4" w:val="single"/>
      </w:pBdr>
      <w:tabs>
        <w:tab w:val="center" w:leader="none" w:pos="4252"/>
        <w:tab w:val="right" w:leader="none" w:pos="8504"/>
      </w:tabs>
      <w:spacing w:line="276" w:lineRule="auto"/>
      <w:jc w:val="center"/>
      <w:rPr>
        <w:color w:val="000000"/>
      </w:rPr>
    </w:pPr>
    <w:r w:rsidDel="00000000" w:rsidR="00000000" w:rsidRPr="00000000">
      <w:rPr>
        <w:color w:val="000000"/>
        <w:rtl w:val="0"/>
      </w:rPr>
      <w:t xml:space="preserve">[Escriba la fecha]</w:t>
    </w:r>
  </w:p>
  <w:p w:rsidR="00000000" w:rsidDel="00000000" w:rsidP="00000000" w:rsidRDefault="00000000" w:rsidRPr="00000000" w14:paraId="0000003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ind w:left="-1134" w:right="-93" w:firstLine="0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ind w:left="566" w:firstLine="0"/>
      <w:rPr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ind w:left="283" w:hanging="283"/>
      <w:rPr>
        <w:sz w:val="28"/>
        <w:szCs w:val="28"/>
      </w:rPr>
    </w:pPr>
    <w:r w:rsidDel="00000000" w:rsidR="00000000" w:rsidRPr="00000000">
      <w:rPr>
        <w:sz w:val="20"/>
        <w:szCs w:val="20"/>
      </w:rPr>
      <w:drawing>
        <wp:inline distB="114300" distT="114300" distL="114300" distR="114300">
          <wp:extent cx="2037397" cy="1140098"/>
          <wp:effectExtent b="0" l="0" r="0" t="0"/>
          <wp:docPr id="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37397" cy="114009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ind w:left="283" w:hanging="283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4"/>
        <w:szCs w:val="24"/>
        <w:lang w:val="es-CO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before="240" w:lineRule="auto"/>
    </w:pPr>
    <w:rPr>
      <w:rFonts w:ascii="Calibri" w:cs="Calibri" w:eastAsia="Calibri" w:hAnsi="Calibri"/>
      <w:color w:val="36609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before="40" w:lineRule="auto"/>
    </w:pPr>
    <w:rPr>
      <w:rFonts w:ascii="Calibri" w:cs="Calibri" w:eastAsia="Calibri" w:hAnsi="Calibri"/>
      <w:color w:val="243f61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auto" w:val="clear"/>
    </w:tc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penSans-regular.ttf"/><Relationship Id="rId2" Type="http://schemas.openxmlformats.org/officeDocument/2006/relationships/font" Target="fonts/OpenSans-bold.ttf"/><Relationship Id="rId3" Type="http://schemas.openxmlformats.org/officeDocument/2006/relationships/font" Target="fonts/OpenSans-italic.ttf"/><Relationship Id="rId4" Type="http://schemas.openxmlformats.org/officeDocument/2006/relationships/font" Target="fonts/OpenSans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hyperlink" Target="mailto:rectoria@unicauca.edu.co" TargetMode="External"/><Relationship Id="rId3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pCGr4/mrG41+zYXms5BkJa6vvA==">CgMxLjA4AHIhMVVXSEV5clBhdkVrYnBaQWFpUkkzWFREM3B3enBIckxJ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